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2" w:rsidRPr="00E23F5F" w:rsidRDefault="00E23F5F" w:rsidP="00E23F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3F5F">
        <w:rPr>
          <w:rFonts w:ascii="Times New Roman" w:hAnsi="Times New Roman" w:cs="Times New Roman"/>
          <w:b/>
          <w:sz w:val="32"/>
          <w:szCs w:val="32"/>
          <w:u w:val="single"/>
        </w:rPr>
        <w:t>О доставке пенсии на номинальный счет.</w:t>
      </w:r>
    </w:p>
    <w:p w:rsidR="00E23F5F" w:rsidRPr="00E23F5F" w:rsidRDefault="00E23F5F" w:rsidP="00E2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075770" wp14:editId="37B2465E">
            <wp:extent cx="1981200" cy="1427519"/>
            <wp:effectExtent l="0" t="0" r="0" b="1270"/>
            <wp:docPr id="1" name="Рисунок 1" descr="https://pfr.gov.ru/files/branches/voronezh/234128677_2912140235675326_3110800129046057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fr.gov.ru/files/branches/voronezh/234128677_2912140235675326_311080012904605756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E23F5F">
        <w:rPr>
          <w:rFonts w:ascii="Times New Roman" w:hAnsi="Times New Roman" w:cs="Times New Roman"/>
          <w:sz w:val="28"/>
          <w:szCs w:val="28"/>
        </w:rPr>
        <w:t>Доставка</w:t>
      </w:r>
      <w:bookmarkStart w:id="0" w:name="_GoBack"/>
      <w:bookmarkEnd w:id="0"/>
      <w:r w:rsidRPr="00E23F5F">
        <w:rPr>
          <w:rFonts w:ascii="Times New Roman" w:hAnsi="Times New Roman" w:cs="Times New Roman"/>
          <w:sz w:val="28"/>
          <w:szCs w:val="28"/>
        </w:rPr>
        <w:t xml:space="preserve"> пенсии несовершеннолетнего или недееспособного гражданина производится по желанию его законного представителя (опекуна) через организацию почтовой связи или кредитную организацию. При этом законный представитель вправе выбрать: на его имя осуществлять доставку пенсии или на имя своего подопечного.</w:t>
      </w:r>
    </w:p>
    <w:p w:rsidR="00E23F5F" w:rsidRPr="00E23F5F" w:rsidRDefault="00E23F5F" w:rsidP="00E2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F5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E23F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3F5F">
        <w:rPr>
          <w:rFonts w:ascii="Times New Roman" w:hAnsi="Times New Roman" w:cs="Times New Roman"/>
          <w:sz w:val="28"/>
          <w:szCs w:val="28"/>
        </w:rPr>
        <w:t xml:space="preserve"> если законный представитель изъявит желание доставлять пенсию своего подопечного на свой счет в кредитной организации, счет в таком случае должен быть номинальным. Средства, размещенные на номинальном счете, расходуются опекуном или попечителем без предварительного разрешения органа опеки и попечительства.</w:t>
      </w:r>
    </w:p>
    <w:p w:rsidR="00E23F5F" w:rsidRPr="00E23F5F" w:rsidRDefault="00E23F5F" w:rsidP="00E2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F5F">
        <w:rPr>
          <w:rFonts w:ascii="Times New Roman" w:hAnsi="Times New Roman" w:cs="Times New Roman"/>
          <w:sz w:val="28"/>
          <w:szCs w:val="28"/>
        </w:rPr>
        <w:t>Кроме того не допускается обращение взыскания по долгам должника на денежные средства, находящиеся на номинальном банковском счёте, владельцем которого он является.</w:t>
      </w:r>
    </w:p>
    <w:sectPr w:rsidR="00E23F5F" w:rsidRPr="00E2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5F"/>
    <w:rsid w:val="00E23F5F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2021-08-24T07:07:00Z</dcterms:created>
  <dcterms:modified xsi:type="dcterms:W3CDTF">2021-08-24T07:08:00Z</dcterms:modified>
</cp:coreProperties>
</file>