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Денежная выплата отдельным категориям граждан  </w:t>
      </w: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 на территории Белгородской области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bCs/>
          <w:sz w:val="28"/>
          <w:szCs w:val="28"/>
        </w:rPr>
        <w:outlineLvl w:val="0"/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1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 На единовременную денежную выплату могут претендовать: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1) семьи с детьми, страдающими тяжелой формой детского церебрального  паралича, самостоятельно не передвигающимися и себя не обслуживающими,  редкими (орфанными) заболеваниями;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) семьи, признанные многодетными в соответствии с Социальным кодексом  Белгородской области, одиноко проживающие инвалиды I и II группы,  среднедушевой доход которых (доход которых) не превышает 2,5-кратной  величины прожиточного минимума по Белгородской 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бласти, установленной  для соответствующих социально-демографических групп, действующей на  момент направления заявления;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</w:rPr>
        <w:t xml:space="preserve">3) одиноко проживающие граждане (семьи), доход которых (среднедушевой  доход которых) не превышает 2-кратной величины прожиточного минимума по  Белгородской области, установленной для соответствующих  социально-демографических групп, действующей на момент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направления  заявления.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2. Размер единовременной денежной выплаты: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до 75 000 руб.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                       </w:t>
      </w:r>
      <w:bookmarkStart w:id="0" w:name="_GoBack"/>
      <w:r>
        <w:rPr>
          <w:rFonts w:ascii="PT Astra Serif" w:hAnsi="PT Astra Serif" w:eastAsia="PT Astra Serif" w:cs="PT Astra Serif"/>
          <w:highlight w:val="white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на одиноко проживающего гражданина (семью) за счет средств областного бюджета.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При определении права на указанную выплату имеют значение доход, имущество и иные материальные критерии гражданина (семьи).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 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white"/>
          <w:lang w:eastAsia="ru-RU"/>
        </w:rPr>
        <w:t xml:space="preserve">3. Когда и куда можно подать заявление о предоставлении единовременной денежной выплаты: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ru-RU"/>
        </w:rPr>
        <w:t xml:space="preserve">заявление и документы заявитель вправе подать не чаще одного раза в год во время личного приема депутата Белгородской областной Думы.</w:t>
      </w:r>
      <w:r>
        <w:rPr>
          <w:rFonts w:ascii="PT Astra Serif" w:hAnsi="PT Astra Serif" w:cs="PT Astra Serif"/>
          <w:sz w:val="28"/>
          <w:szCs w:val="28"/>
          <w:highlight w:val="white"/>
        </w:rPr>
      </w:r>
      <w:r>
        <w:rPr>
          <w:rFonts w:ascii="PT Astra Serif" w:hAnsi="PT Astra Serif" w:cs="PT Astra Serif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4. Поддержка оказывается гражданам, соответствующим следующим условиям: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наличие гражданство Российской Федерации;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наличие регистрации на территории Белгородской области;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5. Единовременная денежная выплата предоставляется в целях:</w:t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1) компенсации имущества, утраченного или поврежденного в результате обстрелов со стороны вооруженных формирований Украины и (или) террористических актов;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2) проведения текущего ремонта жилого помещения либо жилого дома, поврежденных в результате обстрелов со стороны вооруженных формирований Украины и (или) террористических актов;</w:t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3) срочной помощи лицам, пострадавшим в результате обстрелов со стороны вооруженных формирований Украины и (или) террористических актов, на цели, не предусмотренные пунктами 1 и 2 настоящей части;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4) приобретения лекарственных препаратов, медицинских изделий по назначению врача - не чаще одного раза в год;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5) лечения, в том числе оперативного, проведения медицинских исследований, анализов и обследований по назначению врача - не чаще одного раза в год;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6) приобретения технических средств реабилитации инвалидов, зубопротезирования (за исключением зубных протезов из драгоценных металлов и других дорогостоящих материалов, в том числе металлокерамики), оплаты мероприятий по восстановительному лечению и реаби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литации - не чаще одного раза в три года;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7) приобретения компьютеров и периферийного оборудования, коммуникационного оборудования для детей-инвалидов - не чаще одного раза в пять лет;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8) адаптации жилых помещений к нуждам инвалидов - однократно;</w:t>
        <w:br/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9) оплаты проживания до 10 суток (в размере до 5000 рублей за сутки) для инвалидов при прохождении ими обследования, лечения и реабилитации, а также для сопровождающих их членов семьи - не чаще одного раза в три года.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В случае получения гражданином (семьей) на аналогичные цели единовременного пособия, предусмотренного статьей 40 Социального кодекса Белгородской области, единовременная денежная выплата в текущем году не предоставляется.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Денежная выплата на цели, указанные в пунктах 4 - 9 части части 5 настоящей статьи, не предоставляется в случае отсутствия у трудоспособных  неработающих гражданина и членов семьи гражданина доходов, установленных  Правительством Белгородской области.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6. Перечень документов, необходимых для получения единовременной денежной выплаты, представляемых заявителем: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паспорт гражданина Российской Федерации и его копия;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копии документов, удостоверяющих личность членов семьи заявителя;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справки (сведения) о заработной плате по форме 2-НДФЛ, стипендии и других видах дохода с места работы, учебы всех членов семьи за 3 (три) календарных месяца, предшествующих месяцу подачи заявления;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копии трудовых книжек или сведения о трудовой деятельности – для неработающего трудоспособного заявителя и (или) неработающих трудоспособных членов семьи;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документы, подтверждающие предстоящие расходы, к которым относятся: справки, акты соответствующих учреждений, организаций, подтверждающие факты имущественных потерь заявителя (оплаты работ, услуг, пол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учения товаров и другое), документы (направление, выписка из истории болезни, рецепт на лекарства) с указанием медицинского учреждения, подтверждающие необходимость в дорогостоящей медицинской помощи (проведение операций, лечение, обследование, не входящее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br/>
        <w:t xml:space="preserve">в Программу государственных гарантий оказания гражданам Российской Федерации бесплатной медицинской помощи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 и медицинских услуг)</w:t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, документы, подтверждающие цели предоставления единовременной выплаты, указанные в части 1 статьи 2 закона Белгородской области от 04 июля 2024 года № 393                «О денежной выплате отдельным категориям граждан на территории Белгородской области»;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-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счета);</w:t>
      </w:r>
      <w:r>
        <w:rPr>
          <w:rFonts w:ascii="PT Astra Serif" w:hAnsi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2. Документы, запрашиваемые уполномоченным органом местного самоуправления в порядке межведомственного информационного взаимодействия или представленные заявителем по собственной инициативе:</w:t>
        <w:br/>
        <w:tab/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наличии гражданства Российской Федерации у заявителя и членов семьи (паспорт гражданина Российской Федерации, сведения, полученные от Министерства внутренних дел Российской Федерации);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cs="PT Astra Serif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месте постоянного проживания заявителя и членов семьи на территории Белгородской области (паспорт гражданина Российской Федерации, сведения, полученные от Министерства внутренних дел Российской Федерации);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документ (сведения), подтверждающий размер пенсии заявителя и членов семьи, размер пособия и аналогичные выплаты, в том числе размер выплаты по обязательному социальному страхованию и выплаты компенсационного характера, полученные в соответствии с законо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справки (сведения) из областного казенного учреждения центра занятости населения о регистрации в качестве безработного и периоде получения пособия по безработице - для неработающего трудоспособного заявителя и (или) неработающих трудоспособных членов его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 семьи;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идентификационный номер налогоплательщика (ИНН) заявителя и членов семьи;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contextualSpacing/>
        <w:ind w:left="0" w:right="0" w:firstLine="708"/>
        <w:jc w:val="both"/>
        <w:rPr>
          <w:rFonts w:ascii="PT Astra Serif" w:hAnsi="PT Astra Serif" w:cs="PT Astra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- сведения о страховом номере индивидуального лицевого счета (копия страхового свидетельства обязательного пенсионного страхования или страхового свидетельства государственного пенсионного страхования или документа, подтверждающего регистрацию в системе ин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дивидуального (персонифицированного) учета, в том числе в форме электронного документа).</w:t>
        <w:br/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Наталья</dc:creator>
  <cp:keywords/>
  <dc:description/>
  <cp:revision>4</cp:revision>
  <dcterms:created xsi:type="dcterms:W3CDTF">2022-05-26T11:11:00Z</dcterms:created>
  <dcterms:modified xsi:type="dcterms:W3CDTF">2025-10-27T06:59:26Z</dcterms:modified>
</cp:coreProperties>
</file>